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A42ABC" w:rsidP="00D95C3C">
            <w:pPr>
              <w:rPr>
                <w:b/>
                <w:sz w:val="20"/>
                <w:szCs w:val="20"/>
              </w:rPr>
            </w:pPr>
            <w:r>
              <w:rPr>
                <w:b/>
                <w:sz w:val="20"/>
                <w:szCs w:val="20"/>
              </w:rPr>
              <w:t>BOP 026</w:t>
            </w:r>
          </w:p>
        </w:tc>
      </w:tr>
      <w:tr w:rsidR="00F678F4" w:rsidTr="00D95C3C">
        <w:tc>
          <w:tcPr>
            <w:tcW w:w="3256" w:type="dxa"/>
            <w:tcBorders>
              <w:bottom w:val="single" w:sz="4" w:space="0" w:color="auto"/>
            </w:tcBorders>
          </w:tcPr>
          <w:p w:rsidR="007B483E" w:rsidRDefault="00F678F4" w:rsidP="00D95C3C">
            <w:pPr>
              <w:rPr>
                <w:sz w:val="20"/>
                <w:szCs w:val="20"/>
              </w:rPr>
            </w:pPr>
            <w:r w:rsidRPr="00B25405">
              <w:rPr>
                <w:sz w:val="20"/>
                <w:szCs w:val="20"/>
              </w:rPr>
              <w:t>Service name</w:t>
            </w:r>
          </w:p>
          <w:p w:rsidR="007B483E" w:rsidRPr="00644B7E" w:rsidRDefault="007B483E" w:rsidP="00D95C3C">
            <w:pPr>
              <w:rPr>
                <w:rFonts w:ascii="Calibri" w:hAnsi="Calibri"/>
                <w:color w:val="000000"/>
                <w:sz w:val="20"/>
                <w:szCs w:val="20"/>
              </w:rPr>
            </w:pPr>
            <w:r w:rsidRPr="003A3960">
              <w:rPr>
                <w:rFonts w:ascii="Calibri" w:hAnsi="Calibri"/>
                <w:color w:val="000000"/>
                <w:sz w:val="20"/>
                <w:szCs w:val="20"/>
              </w:rPr>
              <w:t>PATIENT SAFETY &amp; QUALITY IMPROVEMENT</w:t>
            </w:r>
            <w:r w:rsidR="00833479">
              <w:rPr>
                <w:rFonts w:ascii="Calibri" w:hAnsi="Calibri"/>
                <w:color w:val="000000"/>
                <w:sz w:val="20"/>
                <w:szCs w:val="20"/>
              </w:rPr>
              <w:t xml:space="preserve"> (BBR 093)</w:t>
            </w:r>
          </w:p>
        </w:tc>
        <w:tc>
          <w:tcPr>
            <w:tcW w:w="5953" w:type="dxa"/>
            <w:gridSpan w:val="3"/>
            <w:tcBorders>
              <w:bottom w:val="single" w:sz="4" w:space="0" w:color="auto"/>
            </w:tcBorders>
          </w:tcPr>
          <w:p w:rsidR="00F678F4" w:rsidRPr="00AC0F19" w:rsidRDefault="003A3960" w:rsidP="00AC0F19">
            <w:pPr>
              <w:rPr>
                <w:sz w:val="20"/>
                <w:szCs w:val="20"/>
              </w:rPr>
            </w:pPr>
            <w:r>
              <w:rPr>
                <w:sz w:val="20"/>
                <w:szCs w:val="20"/>
              </w:rPr>
              <w:t>Service description – please see over</w:t>
            </w: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917091" w:rsidTr="00D95C3C">
        <w:tc>
          <w:tcPr>
            <w:tcW w:w="3256" w:type="dxa"/>
            <w:tcBorders>
              <w:top w:val="nil"/>
              <w:bottom w:val="single" w:sz="4" w:space="0" w:color="auto"/>
            </w:tcBorders>
          </w:tcPr>
          <w:p w:rsidR="00917091" w:rsidRPr="004D588F" w:rsidRDefault="00917091" w:rsidP="00917091">
            <w:pPr>
              <w:rPr>
                <w:sz w:val="20"/>
                <w:szCs w:val="20"/>
              </w:rPr>
            </w:pPr>
            <w:r>
              <w:rPr>
                <w:sz w:val="20"/>
                <w:szCs w:val="20"/>
              </w:rPr>
              <w:t>Forecast before savings</w:t>
            </w:r>
          </w:p>
        </w:tc>
        <w:tc>
          <w:tcPr>
            <w:tcW w:w="1984" w:type="dxa"/>
            <w:tcBorders>
              <w:top w:val="nil"/>
              <w:bottom w:val="single" w:sz="4" w:space="0" w:color="auto"/>
            </w:tcBorders>
          </w:tcPr>
          <w:p w:rsidR="00917091" w:rsidRPr="00F32F81" w:rsidRDefault="00917091" w:rsidP="00917091">
            <w:pPr>
              <w:jc w:val="right"/>
              <w:rPr>
                <w:sz w:val="20"/>
                <w:szCs w:val="20"/>
              </w:rPr>
            </w:pPr>
            <w:r w:rsidRPr="00FB7ABB">
              <w:rPr>
                <w:noProof/>
                <w:sz w:val="20"/>
                <w:szCs w:val="20"/>
              </w:rPr>
              <w:t>4.244</w:t>
            </w:r>
          </w:p>
        </w:tc>
        <w:tc>
          <w:tcPr>
            <w:tcW w:w="1843" w:type="dxa"/>
            <w:tcBorders>
              <w:top w:val="nil"/>
              <w:bottom w:val="single" w:sz="4" w:space="0" w:color="auto"/>
            </w:tcBorders>
          </w:tcPr>
          <w:p w:rsidR="00917091" w:rsidRPr="00F32F81" w:rsidRDefault="00917091" w:rsidP="00917091">
            <w:pPr>
              <w:jc w:val="right"/>
              <w:rPr>
                <w:sz w:val="20"/>
                <w:szCs w:val="20"/>
              </w:rPr>
            </w:pPr>
            <w:r w:rsidRPr="00FB7ABB">
              <w:rPr>
                <w:noProof/>
                <w:sz w:val="20"/>
                <w:szCs w:val="20"/>
              </w:rPr>
              <w:t>4.356</w:t>
            </w:r>
          </w:p>
        </w:tc>
        <w:tc>
          <w:tcPr>
            <w:tcW w:w="2126" w:type="dxa"/>
            <w:tcBorders>
              <w:top w:val="nil"/>
              <w:bottom w:val="single" w:sz="4" w:space="0" w:color="auto"/>
            </w:tcBorders>
          </w:tcPr>
          <w:p w:rsidR="00917091" w:rsidRPr="00F32F81" w:rsidRDefault="00917091" w:rsidP="00917091">
            <w:pPr>
              <w:jc w:val="right"/>
              <w:rPr>
                <w:sz w:val="20"/>
                <w:szCs w:val="20"/>
              </w:rPr>
            </w:pPr>
            <w:r w:rsidRPr="00FB7ABB">
              <w:rPr>
                <w:noProof/>
                <w:sz w:val="20"/>
                <w:szCs w:val="20"/>
              </w:rPr>
              <w:t>4.349</w:t>
            </w:r>
          </w:p>
        </w:tc>
      </w:tr>
      <w:tr w:rsidR="00917091" w:rsidTr="00D95C3C">
        <w:tc>
          <w:tcPr>
            <w:tcW w:w="3256" w:type="dxa"/>
            <w:shd w:val="clear" w:color="auto" w:fill="auto"/>
          </w:tcPr>
          <w:p w:rsidR="00917091" w:rsidRDefault="00917091" w:rsidP="00917091">
            <w:pPr>
              <w:rPr>
                <w:sz w:val="20"/>
                <w:szCs w:val="20"/>
              </w:rPr>
            </w:pPr>
            <w:r>
              <w:rPr>
                <w:sz w:val="20"/>
                <w:szCs w:val="20"/>
              </w:rPr>
              <w:t>Budgeted savings (cumulative)</w:t>
            </w:r>
          </w:p>
        </w:tc>
        <w:tc>
          <w:tcPr>
            <w:tcW w:w="1984" w:type="dxa"/>
            <w:shd w:val="clear" w:color="auto" w:fill="auto"/>
          </w:tcPr>
          <w:p w:rsidR="00917091" w:rsidRPr="00F32F81" w:rsidRDefault="00917091" w:rsidP="00917091">
            <w:pPr>
              <w:jc w:val="right"/>
              <w:rPr>
                <w:sz w:val="20"/>
                <w:szCs w:val="20"/>
              </w:rPr>
            </w:pPr>
            <w:r w:rsidRPr="00FB7ABB">
              <w:rPr>
                <w:noProof/>
                <w:sz w:val="20"/>
                <w:szCs w:val="20"/>
              </w:rPr>
              <w:t>0.000</w:t>
            </w:r>
          </w:p>
        </w:tc>
        <w:tc>
          <w:tcPr>
            <w:tcW w:w="1843" w:type="dxa"/>
            <w:shd w:val="clear" w:color="auto" w:fill="auto"/>
          </w:tcPr>
          <w:p w:rsidR="00917091" w:rsidRPr="00F32F81" w:rsidRDefault="00917091" w:rsidP="00917091">
            <w:pPr>
              <w:jc w:val="right"/>
              <w:rPr>
                <w:sz w:val="20"/>
                <w:szCs w:val="20"/>
              </w:rPr>
            </w:pPr>
            <w:r w:rsidRPr="00FB7ABB">
              <w:rPr>
                <w:noProof/>
                <w:sz w:val="20"/>
                <w:szCs w:val="20"/>
              </w:rPr>
              <w:t>0.000</w:t>
            </w:r>
          </w:p>
        </w:tc>
        <w:tc>
          <w:tcPr>
            <w:tcW w:w="2126" w:type="dxa"/>
            <w:shd w:val="clear" w:color="auto" w:fill="auto"/>
          </w:tcPr>
          <w:p w:rsidR="00917091" w:rsidRPr="00F32F81" w:rsidRDefault="00917091" w:rsidP="00917091">
            <w:pPr>
              <w:jc w:val="right"/>
              <w:rPr>
                <w:sz w:val="20"/>
                <w:szCs w:val="20"/>
              </w:rPr>
            </w:pPr>
            <w:r w:rsidRPr="00FB7ABB">
              <w:rPr>
                <w:noProof/>
                <w:sz w:val="20"/>
                <w:szCs w:val="20"/>
              </w:rPr>
              <w:t>0.000</w:t>
            </w:r>
          </w:p>
        </w:tc>
      </w:tr>
      <w:tr w:rsidR="00917091" w:rsidTr="00D95C3C">
        <w:tc>
          <w:tcPr>
            <w:tcW w:w="3256" w:type="dxa"/>
          </w:tcPr>
          <w:p w:rsidR="00917091" w:rsidRDefault="00917091" w:rsidP="00917091">
            <w:pPr>
              <w:rPr>
                <w:sz w:val="20"/>
                <w:szCs w:val="20"/>
              </w:rPr>
            </w:pPr>
            <w:r>
              <w:rPr>
                <w:sz w:val="20"/>
                <w:szCs w:val="20"/>
              </w:rPr>
              <w:t>Planned net expenditure</w:t>
            </w:r>
            <w:r w:rsidRPr="004D588F">
              <w:rPr>
                <w:sz w:val="20"/>
                <w:szCs w:val="20"/>
              </w:rPr>
              <w:t xml:space="preserve"> </w:t>
            </w:r>
          </w:p>
          <w:p w:rsidR="00917091" w:rsidRDefault="00917091" w:rsidP="00917091">
            <w:pPr>
              <w:rPr>
                <w:sz w:val="20"/>
                <w:szCs w:val="20"/>
              </w:rPr>
            </w:pPr>
            <w:r w:rsidRPr="005B77F6">
              <w:rPr>
                <w:b/>
                <w:sz w:val="20"/>
                <w:szCs w:val="20"/>
              </w:rPr>
              <w:t>(Approved 2015 net budget)</w:t>
            </w:r>
          </w:p>
        </w:tc>
        <w:tc>
          <w:tcPr>
            <w:tcW w:w="1984" w:type="dxa"/>
            <w:tcBorders>
              <w:bottom w:val="single" w:sz="4" w:space="0" w:color="auto"/>
            </w:tcBorders>
          </w:tcPr>
          <w:p w:rsidR="00917091" w:rsidRPr="00B25405" w:rsidRDefault="00917091" w:rsidP="00917091">
            <w:pPr>
              <w:jc w:val="right"/>
              <w:rPr>
                <w:sz w:val="20"/>
                <w:szCs w:val="20"/>
              </w:rPr>
            </w:pPr>
            <w:r w:rsidRPr="00FB7ABB">
              <w:rPr>
                <w:noProof/>
                <w:sz w:val="20"/>
                <w:szCs w:val="20"/>
              </w:rPr>
              <w:t>4.244</w:t>
            </w:r>
          </w:p>
        </w:tc>
        <w:tc>
          <w:tcPr>
            <w:tcW w:w="1843" w:type="dxa"/>
            <w:tcBorders>
              <w:bottom w:val="single" w:sz="4" w:space="0" w:color="auto"/>
            </w:tcBorders>
          </w:tcPr>
          <w:p w:rsidR="00917091" w:rsidRPr="00B25405" w:rsidRDefault="00917091" w:rsidP="00917091">
            <w:pPr>
              <w:jc w:val="right"/>
              <w:rPr>
                <w:sz w:val="20"/>
                <w:szCs w:val="20"/>
              </w:rPr>
            </w:pPr>
            <w:r w:rsidRPr="00FB7ABB">
              <w:rPr>
                <w:noProof/>
                <w:sz w:val="20"/>
                <w:szCs w:val="20"/>
              </w:rPr>
              <w:t>4.356</w:t>
            </w:r>
          </w:p>
        </w:tc>
        <w:tc>
          <w:tcPr>
            <w:tcW w:w="2126" w:type="dxa"/>
            <w:tcBorders>
              <w:bottom w:val="single" w:sz="4" w:space="0" w:color="auto"/>
            </w:tcBorders>
          </w:tcPr>
          <w:p w:rsidR="00917091" w:rsidRPr="00B25405" w:rsidRDefault="00917091" w:rsidP="00917091">
            <w:pPr>
              <w:jc w:val="right"/>
              <w:rPr>
                <w:sz w:val="20"/>
                <w:szCs w:val="20"/>
              </w:rPr>
            </w:pPr>
            <w:r w:rsidRPr="00FB7ABB">
              <w:rPr>
                <w:noProof/>
                <w:sz w:val="20"/>
                <w:szCs w:val="20"/>
              </w:rPr>
              <w:t>4.349</w:t>
            </w:r>
          </w:p>
        </w:tc>
      </w:tr>
      <w:tr w:rsidR="00917091" w:rsidTr="00D95C3C">
        <w:tc>
          <w:tcPr>
            <w:tcW w:w="3256" w:type="dxa"/>
            <w:tcBorders>
              <w:right w:val="single" w:sz="4" w:space="0" w:color="auto"/>
            </w:tcBorders>
            <w:shd w:val="clear" w:color="auto" w:fill="D9D9D9" w:themeFill="background1" w:themeFillShade="D9"/>
          </w:tcPr>
          <w:p w:rsidR="00917091" w:rsidRPr="001774BD" w:rsidRDefault="00917091" w:rsidP="00917091">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091" w:rsidRPr="00B25405" w:rsidRDefault="00917091" w:rsidP="009170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091" w:rsidRPr="00B25405" w:rsidRDefault="00917091" w:rsidP="0091709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091" w:rsidRPr="00B25405" w:rsidRDefault="00917091" w:rsidP="00917091">
            <w:pPr>
              <w:jc w:val="right"/>
              <w:rPr>
                <w:sz w:val="20"/>
                <w:szCs w:val="20"/>
              </w:rPr>
            </w:pPr>
          </w:p>
        </w:tc>
      </w:tr>
      <w:tr w:rsidR="00917091" w:rsidTr="001003C3">
        <w:tc>
          <w:tcPr>
            <w:tcW w:w="3256" w:type="dxa"/>
            <w:tcBorders>
              <w:right w:val="single" w:sz="4" w:space="0" w:color="auto"/>
            </w:tcBorders>
            <w:shd w:val="clear" w:color="auto" w:fill="auto"/>
          </w:tcPr>
          <w:p w:rsidR="00917091" w:rsidRPr="00E43B74" w:rsidRDefault="00917091" w:rsidP="00917091">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7091" w:rsidRPr="00B25405" w:rsidRDefault="00917091" w:rsidP="00917091">
            <w:pPr>
              <w:jc w:val="right"/>
              <w:rPr>
                <w:sz w:val="20"/>
                <w:szCs w:val="20"/>
              </w:rPr>
            </w:pPr>
            <w:r w:rsidRPr="00FB7ABB">
              <w:rPr>
                <w:noProof/>
                <w:sz w:val="20"/>
                <w:szCs w:val="20"/>
              </w:rPr>
              <w:t>-0.744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91" w:rsidRPr="00B25405" w:rsidRDefault="00917091" w:rsidP="0091709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7091" w:rsidRPr="00B25405" w:rsidRDefault="00917091" w:rsidP="00917091">
            <w:pPr>
              <w:jc w:val="right"/>
              <w:rPr>
                <w:sz w:val="20"/>
                <w:szCs w:val="20"/>
              </w:rPr>
            </w:pPr>
          </w:p>
        </w:tc>
      </w:tr>
      <w:tr w:rsidR="00917091" w:rsidTr="00D95C3C">
        <w:tc>
          <w:tcPr>
            <w:tcW w:w="3256" w:type="dxa"/>
            <w:tcBorders>
              <w:right w:val="single" w:sz="4" w:space="0" w:color="auto"/>
            </w:tcBorders>
          </w:tcPr>
          <w:p w:rsidR="00917091" w:rsidRPr="00EA1D7C" w:rsidRDefault="00917091" w:rsidP="00917091">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r w:rsidRPr="00FB7ABB">
              <w:rPr>
                <w:noProof/>
                <w:sz w:val="20"/>
                <w:szCs w:val="20"/>
              </w:rPr>
              <w:t>0.000</w:t>
            </w:r>
          </w:p>
        </w:tc>
      </w:tr>
      <w:tr w:rsidR="00917091" w:rsidTr="00D95C3C">
        <w:tc>
          <w:tcPr>
            <w:tcW w:w="3256" w:type="dxa"/>
            <w:tcBorders>
              <w:right w:val="single" w:sz="4" w:space="0" w:color="auto"/>
            </w:tcBorders>
          </w:tcPr>
          <w:p w:rsidR="00917091" w:rsidRPr="00EA1D7C" w:rsidRDefault="00917091" w:rsidP="00917091">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917091" w:rsidRPr="00B25405" w:rsidRDefault="00917091" w:rsidP="00917091">
            <w:pPr>
              <w:jc w:val="right"/>
              <w:rPr>
                <w:sz w:val="20"/>
                <w:szCs w:val="20"/>
              </w:rPr>
            </w:pPr>
            <w:r w:rsidRPr="00FB7ABB">
              <w:rPr>
                <w:noProof/>
                <w:sz w:val="20"/>
                <w:szCs w:val="20"/>
              </w:rPr>
              <w:t>0.000</w:t>
            </w:r>
          </w:p>
        </w:tc>
      </w:tr>
      <w:tr w:rsidR="00917091" w:rsidTr="00D95C3C">
        <w:tc>
          <w:tcPr>
            <w:tcW w:w="3256" w:type="dxa"/>
            <w:shd w:val="clear" w:color="auto" w:fill="auto"/>
          </w:tcPr>
          <w:p w:rsidR="00917091" w:rsidRPr="004D588F" w:rsidRDefault="00917091" w:rsidP="00917091">
            <w:pPr>
              <w:rPr>
                <w:sz w:val="20"/>
                <w:szCs w:val="20"/>
              </w:rPr>
            </w:pPr>
            <w:r>
              <w:rPr>
                <w:sz w:val="20"/>
                <w:szCs w:val="20"/>
              </w:rPr>
              <w:t>Undeliverable savings (cumulative)</w:t>
            </w:r>
          </w:p>
        </w:tc>
        <w:tc>
          <w:tcPr>
            <w:tcW w:w="1984" w:type="dxa"/>
            <w:shd w:val="clear" w:color="auto" w:fill="auto"/>
          </w:tcPr>
          <w:p w:rsidR="00917091" w:rsidRPr="00C844FA" w:rsidRDefault="00917091" w:rsidP="00917091">
            <w:pPr>
              <w:jc w:val="right"/>
              <w:rPr>
                <w:sz w:val="20"/>
                <w:szCs w:val="20"/>
              </w:rPr>
            </w:pPr>
            <w:r w:rsidRPr="00FB7ABB">
              <w:rPr>
                <w:noProof/>
                <w:sz w:val="20"/>
                <w:szCs w:val="20"/>
              </w:rPr>
              <w:t>0.000</w:t>
            </w:r>
          </w:p>
        </w:tc>
        <w:tc>
          <w:tcPr>
            <w:tcW w:w="1843" w:type="dxa"/>
            <w:shd w:val="clear" w:color="auto" w:fill="auto"/>
          </w:tcPr>
          <w:p w:rsidR="00917091" w:rsidRPr="00C844FA" w:rsidRDefault="00917091" w:rsidP="00917091">
            <w:pPr>
              <w:jc w:val="right"/>
              <w:rPr>
                <w:sz w:val="20"/>
                <w:szCs w:val="20"/>
              </w:rPr>
            </w:pPr>
            <w:r w:rsidRPr="00FB7ABB">
              <w:rPr>
                <w:noProof/>
                <w:sz w:val="20"/>
                <w:szCs w:val="20"/>
              </w:rPr>
              <w:t>0.000</w:t>
            </w:r>
          </w:p>
        </w:tc>
        <w:tc>
          <w:tcPr>
            <w:tcW w:w="2126" w:type="dxa"/>
            <w:shd w:val="clear" w:color="auto" w:fill="auto"/>
          </w:tcPr>
          <w:p w:rsidR="00917091" w:rsidRPr="00C844FA" w:rsidRDefault="00917091" w:rsidP="00917091">
            <w:pPr>
              <w:jc w:val="right"/>
              <w:rPr>
                <w:sz w:val="20"/>
                <w:szCs w:val="20"/>
              </w:rPr>
            </w:pPr>
            <w:r w:rsidRPr="00FB7ABB">
              <w:rPr>
                <w:noProof/>
                <w:sz w:val="20"/>
                <w:szCs w:val="20"/>
              </w:rPr>
              <w:t>0.000</w:t>
            </w:r>
          </w:p>
        </w:tc>
      </w:tr>
      <w:tr w:rsidR="00917091" w:rsidTr="00D95C3C">
        <w:tc>
          <w:tcPr>
            <w:tcW w:w="3256" w:type="dxa"/>
            <w:shd w:val="clear" w:color="auto" w:fill="auto"/>
          </w:tcPr>
          <w:p w:rsidR="00917091" w:rsidRDefault="00917091" w:rsidP="00917091">
            <w:pPr>
              <w:rPr>
                <w:sz w:val="20"/>
                <w:szCs w:val="20"/>
              </w:rPr>
            </w:pPr>
            <w:r>
              <w:rPr>
                <w:sz w:val="20"/>
                <w:szCs w:val="20"/>
              </w:rPr>
              <w:t>Loss of grant (cumulative)</w:t>
            </w:r>
          </w:p>
        </w:tc>
        <w:tc>
          <w:tcPr>
            <w:tcW w:w="1984" w:type="dxa"/>
            <w:shd w:val="clear" w:color="auto" w:fill="auto"/>
          </w:tcPr>
          <w:p w:rsidR="00917091" w:rsidRPr="00C844FA" w:rsidRDefault="00917091" w:rsidP="00917091">
            <w:pPr>
              <w:jc w:val="right"/>
              <w:rPr>
                <w:sz w:val="20"/>
                <w:szCs w:val="20"/>
              </w:rPr>
            </w:pPr>
            <w:r w:rsidRPr="00FB7ABB">
              <w:rPr>
                <w:noProof/>
                <w:sz w:val="20"/>
                <w:szCs w:val="20"/>
              </w:rPr>
              <w:t>0.000</w:t>
            </w:r>
          </w:p>
        </w:tc>
        <w:tc>
          <w:tcPr>
            <w:tcW w:w="1843" w:type="dxa"/>
            <w:shd w:val="clear" w:color="auto" w:fill="auto"/>
          </w:tcPr>
          <w:p w:rsidR="00917091" w:rsidRPr="00C844FA" w:rsidRDefault="00917091" w:rsidP="00917091">
            <w:pPr>
              <w:jc w:val="right"/>
              <w:rPr>
                <w:sz w:val="20"/>
                <w:szCs w:val="20"/>
              </w:rPr>
            </w:pPr>
            <w:r w:rsidRPr="00FB7ABB">
              <w:rPr>
                <w:noProof/>
                <w:sz w:val="20"/>
                <w:szCs w:val="20"/>
              </w:rPr>
              <w:t>0.000</w:t>
            </w:r>
          </w:p>
        </w:tc>
        <w:tc>
          <w:tcPr>
            <w:tcW w:w="2126" w:type="dxa"/>
            <w:shd w:val="clear" w:color="auto" w:fill="auto"/>
          </w:tcPr>
          <w:p w:rsidR="00917091" w:rsidRPr="00C844FA" w:rsidRDefault="00917091" w:rsidP="00917091">
            <w:pPr>
              <w:jc w:val="right"/>
              <w:rPr>
                <w:sz w:val="20"/>
                <w:szCs w:val="20"/>
              </w:rPr>
            </w:pPr>
            <w:r w:rsidRPr="00FB7ABB">
              <w:rPr>
                <w:noProof/>
                <w:sz w:val="20"/>
                <w:szCs w:val="20"/>
              </w:rPr>
              <w:t>0.000</w:t>
            </w:r>
          </w:p>
        </w:tc>
      </w:tr>
      <w:tr w:rsidR="00917091" w:rsidTr="00D95C3C">
        <w:tc>
          <w:tcPr>
            <w:tcW w:w="3256" w:type="dxa"/>
            <w:tcBorders>
              <w:bottom w:val="single" w:sz="4" w:space="0" w:color="auto"/>
            </w:tcBorders>
            <w:shd w:val="clear" w:color="auto" w:fill="BFBFBF" w:themeFill="background1" w:themeFillShade="BF"/>
          </w:tcPr>
          <w:p w:rsidR="00917091" w:rsidRPr="00EA1D7C" w:rsidRDefault="00917091" w:rsidP="00917091">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917091" w:rsidRPr="00F32F81" w:rsidRDefault="00917091" w:rsidP="00917091">
            <w:pPr>
              <w:jc w:val="right"/>
              <w:rPr>
                <w:b/>
                <w:sz w:val="20"/>
                <w:szCs w:val="20"/>
              </w:rPr>
            </w:pPr>
            <w:r w:rsidRPr="00FB7ABB">
              <w:rPr>
                <w:b/>
                <w:noProof/>
                <w:sz w:val="20"/>
                <w:szCs w:val="20"/>
              </w:rPr>
              <w:t>3.500</w:t>
            </w:r>
          </w:p>
        </w:tc>
        <w:tc>
          <w:tcPr>
            <w:tcW w:w="1843" w:type="dxa"/>
            <w:tcBorders>
              <w:bottom w:val="single" w:sz="4" w:space="0" w:color="auto"/>
            </w:tcBorders>
            <w:shd w:val="clear" w:color="auto" w:fill="BFBFBF" w:themeFill="background1" w:themeFillShade="BF"/>
          </w:tcPr>
          <w:p w:rsidR="00917091" w:rsidRPr="00F32F81" w:rsidRDefault="00917091" w:rsidP="00917091">
            <w:pPr>
              <w:jc w:val="right"/>
              <w:rPr>
                <w:b/>
                <w:sz w:val="20"/>
                <w:szCs w:val="20"/>
              </w:rPr>
            </w:pPr>
            <w:r w:rsidRPr="00FB7ABB">
              <w:rPr>
                <w:b/>
                <w:noProof/>
                <w:sz w:val="20"/>
                <w:szCs w:val="20"/>
              </w:rPr>
              <w:t>4.356</w:t>
            </w:r>
          </w:p>
        </w:tc>
        <w:tc>
          <w:tcPr>
            <w:tcW w:w="2126" w:type="dxa"/>
            <w:tcBorders>
              <w:bottom w:val="single" w:sz="4" w:space="0" w:color="auto"/>
            </w:tcBorders>
            <w:shd w:val="clear" w:color="auto" w:fill="BFBFBF" w:themeFill="background1" w:themeFillShade="BF"/>
          </w:tcPr>
          <w:p w:rsidR="00917091" w:rsidRPr="00F32F81" w:rsidRDefault="00917091" w:rsidP="00917091">
            <w:pPr>
              <w:jc w:val="right"/>
              <w:rPr>
                <w:b/>
                <w:sz w:val="20"/>
                <w:szCs w:val="20"/>
              </w:rPr>
            </w:pPr>
            <w:r w:rsidRPr="00FB7ABB">
              <w:rPr>
                <w:b/>
                <w:noProof/>
                <w:sz w:val="20"/>
                <w:szCs w:val="20"/>
              </w:rPr>
              <w:t>4.349</w:t>
            </w:r>
          </w:p>
        </w:tc>
      </w:tr>
      <w:tr w:rsidR="00917091" w:rsidTr="00D95C3C">
        <w:tc>
          <w:tcPr>
            <w:tcW w:w="3256" w:type="dxa"/>
            <w:tcBorders>
              <w:bottom w:val="single" w:sz="4" w:space="0" w:color="auto"/>
            </w:tcBorders>
            <w:shd w:val="clear" w:color="auto" w:fill="auto"/>
          </w:tcPr>
          <w:p w:rsidR="00917091" w:rsidRPr="00F26FCF" w:rsidRDefault="00917091" w:rsidP="00917091">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917091" w:rsidRPr="00B25405" w:rsidRDefault="00917091" w:rsidP="00917091">
            <w:pPr>
              <w:jc w:val="right"/>
              <w:rPr>
                <w:sz w:val="20"/>
                <w:szCs w:val="20"/>
              </w:rPr>
            </w:pPr>
            <w:r w:rsidRPr="00FB7ABB">
              <w:rPr>
                <w:noProof/>
                <w:sz w:val="20"/>
                <w:szCs w:val="20"/>
              </w:rPr>
              <w:t>-0.100</w:t>
            </w:r>
          </w:p>
        </w:tc>
        <w:tc>
          <w:tcPr>
            <w:tcW w:w="1843" w:type="dxa"/>
            <w:tcBorders>
              <w:bottom w:val="single" w:sz="4" w:space="0" w:color="auto"/>
            </w:tcBorders>
            <w:shd w:val="clear" w:color="auto" w:fill="auto"/>
          </w:tcPr>
          <w:p w:rsidR="00917091" w:rsidRPr="00B25405" w:rsidRDefault="00917091" w:rsidP="00917091">
            <w:pPr>
              <w:jc w:val="right"/>
              <w:rPr>
                <w:sz w:val="20"/>
                <w:szCs w:val="20"/>
              </w:rPr>
            </w:pPr>
            <w:r w:rsidRPr="00FB7ABB">
              <w:rPr>
                <w:noProof/>
                <w:sz w:val="20"/>
                <w:szCs w:val="20"/>
              </w:rPr>
              <w:t>-0.888</w:t>
            </w:r>
          </w:p>
        </w:tc>
        <w:tc>
          <w:tcPr>
            <w:tcW w:w="2126" w:type="dxa"/>
            <w:tcBorders>
              <w:bottom w:val="single" w:sz="4" w:space="0" w:color="auto"/>
            </w:tcBorders>
            <w:shd w:val="clear" w:color="auto" w:fill="auto"/>
          </w:tcPr>
          <w:p w:rsidR="00917091" w:rsidRPr="00B25405" w:rsidRDefault="00917091" w:rsidP="00917091">
            <w:pPr>
              <w:jc w:val="right"/>
              <w:rPr>
                <w:sz w:val="20"/>
                <w:szCs w:val="20"/>
              </w:rPr>
            </w:pPr>
            <w:r w:rsidRPr="00FB7ABB">
              <w:rPr>
                <w:noProof/>
                <w:sz w:val="20"/>
                <w:szCs w:val="20"/>
              </w:rPr>
              <w:t>-0.963</w:t>
            </w:r>
          </w:p>
        </w:tc>
      </w:tr>
      <w:tr w:rsidR="00917091" w:rsidTr="00D95C3C">
        <w:tc>
          <w:tcPr>
            <w:tcW w:w="3256" w:type="dxa"/>
            <w:tcBorders>
              <w:bottom w:val="single" w:sz="4" w:space="0" w:color="auto"/>
            </w:tcBorders>
            <w:shd w:val="clear" w:color="auto" w:fill="AEAAAA" w:themeFill="background2" w:themeFillShade="BF"/>
          </w:tcPr>
          <w:p w:rsidR="00917091" w:rsidRPr="00F26FCF" w:rsidRDefault="00917091" w:rsidP="00917091">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917091" w:rsidRPr="00F32F81" w:rsidRDefault="00917091" w:rsidP="00917091">
            <w:pPr>
              <w:jc w:val="right"/>
              <w:rPr>
                <w:b/>
                <w:sz w:val="20"/>
                <w:szCs w:val="20"/>
              </w:rPr>
            </w:pPr>
            <w:r w:rsidRPr="00FB7ABB">
              <w:rPr>
                <w:b/>
                <w:noProof/>
                <w:sz w:val="20"/>
                <w:szCs w:val="20"/>
              </w:rPr>
              <w:t>3.400</w:t>
            </w:r>
          </w:p>
        </w:tc>
        <w:tc>
          <w:tcPr>
            <w:tcW w:w="1843" w:type="dxa"/>
            <w:tcBorders>
              <w:bottom w:val="single" w:sz="4" w:space="0" w:color="auto"/>
            </w:tcBorders>
            <w:shd w:val="clear" w:color="auto" w:fill="AEAAAA" w:themeFill="background2" w:themeFillShade="BF"/>
          </w:tcPr>
          <w:p w:rsidR="00917091" w:rsidRPr="00F32F81" w:rsidRDefault="00917091" w:rsidP="00917091">
            <w:pPr>
              <w:jc w:val="right"/>
              <w:rPr>
                <w:b/>
                <w:sz w:val="20"/>
                <w:szCs w:val="20"/>
              </w:rPr>
            </w:pPr>
            <w:r w:rsidRPr="00FB7ABB">
              <w:rPr>
                <w:b/>
                <w:noProof/>
                <w:sz w:val="20"/>
                <w:szCs w:val="20"/>
              </w:rPr>
              <w:t>3.468</w:t>
            </w:r>
          </w:p>
        </w:tc>
        <w:tc>
          <w:tcPr>
            <w:tcW w:w="2126" w:type="dxa"/>
            <w:tcBorders>
              <w:bottom w:val="single" w:sz="4" w:space="0" w:color="auto"/>
            </w:tcBorders>
            <w:shd w:val="clear" w:color="auto" w:fill="AEAAAA" w:themeFill="background2" w:themeFillShade="BF"/>
          </w:tcPr>
          <w:p w:rsidR="00917091" w:rsidRPr="00F32F81" w:rsidRDefault="00917091" w:rsidP="00917091">
            <w:pPr>
              <w:jc w:val="right"/>
              <w:rPr>
                <w:b/>
                <w:sz w:val="20"/>
                <w:szCs w:val="20"/>
              </w:rPr>
            </w:pPr>
            <w:r w:rsidRPr="00FB7ABB">
              <w:rPr>
                <w:b/>
                <w:noProof/>
                <w:sz w:val="20"/>
                <w:szCs w:val="20"/>
              </w:rPr>
              <w:t>3.386</w:t>
            </w:r>
          </w:p>
        </w:tc>
      </w:tr>
      <w:tr w:rsidR="00917091" w:rsidTr="00D95C3C">
        <w:tc>
          <w:tcPr>
            <w:tcW w:w="3256" w:type="dxa"/>
            <w:shd w:val="clear" w:color="auto" w:fill="auto"/>
          </w:tcPr>
          <w:p w:rsidR="00917091" w:rsidRPr="00B25405" w:rsidRDefault="00917091" w:rsidP="00917091">
            <w:pPr>
              <w:rPr>
                <w:sz w:val="20"/>
                <w:szCs w:val="20"/>
              </w:rPr>
            </w:pPr>
            <w:r>
              <w:rPr>
                <w:sz w:val="20"/>
                <w:szCs w:val="20"/>
              </w:rPr>
              <w:t>Proposed risk</w:t>
            </w:r>
            <w:r w:rsidRPr="00B25405">
              <w:rPr>
                <w:sz w:val="20"/>
                <w:szCs w:val="20"/>
              </w:rPr>
              <w:t xml:space="preserve"> reserve provision</w:t>
            </w:r>
            <w:r w:rsidR="00154554">
              <w:rPr>
                <w:sz w:val="20"/>
                <w:szCs w:val="20"/>
              </w:rPr>
              <w:t xml:space="preserve"> (discrete year)</w:t>
            </w:r>
          </w:p>
        </w:tc>
        <w:tc>
          <w:tcPr>
            <w:tcW w:w="1984" w:type="dxa"/>
            <w:shd w:val="clear" w:color="auto" w:fill="auto"/>
          </w:tcPr>
          <w:p w:rsidR="00917091" w:rsidRPr="00B25405" w:rsidRDefault="00917091" w:rsidP="00917091">
            <w:pPr>
              <w:jc w:val="right"/>
              <w:rPr>
                <w:sz w:val="20"/>
                <w:szCs w:val="20"/>
              </w:rPr>
            </w:pPr>
          </w:p>
        </w:tc>
        <w:tc>
          <w:tcPr>
            <w:tcW w:w="1843" w:type="dxa"/>
            <w:shd w:val="clear" w:color="auto" w:fill="auto"/>
          </w:tcPr>
          <w:p w:rsidR="00917091" w:rsidRPr="00B25405" w:rsidRDefault="00917091" w:rsidP="00917091">
            <w:pPr>
              <w:jc w:val="right"/>
              <w:rPr>
                <w:sz w:val="20"/>
                <w:szCs w:val="20"/>
              </w:rPr>
            </w:pPr>
            <w:r w:rsidRPr="00FB7ABB">
              <w:rPr>
                <w:noProof/>
                <w:sz w:val="20"/>
                <w:szCs w:val="20"/>
              </w:rPr>
              <w:t>0.000</w:t>
            </w:r>
          </w:p>
        </w:tc>
        <w:tc>
          <w:tcPr>
            <w:tcW w:w="2126" w:type="dxa"/>
            <w:shd w:val="clear" w:color="auto" w:fill="auto"/>
          </w:tcPr>
          <w:p w:rsidR="00917091" w:rsidRPr="00B25405" w:rsidRDefault="00917091" w:rsidP="00917091">
            <w:pPr>
              <w:jc w:val="right"/>
              <w:rPr>
                <w:sz w:val="20"/>
                <w:szCs w:val="20"/>
              </w:rPr>
            </w:pPr>
            <w:r w:rsidRPr="00FB7ABB">
              <w:rPr>
                <w:noProof/>
                <w:sz w:val="20"/>
                <w:szCs w:val="20"/>
              </w:rPr>
              <w:t>0.000</w:t>
            </w:r>
          </w:p>
        </w:tc>
      </w:tr>
      <w:tr w:rsidR="00917091" w:rsidTr="00D95C3C">
        <w:tc>
          <w:tcPr>
            <w:tcW w:w="3256" w:type="dxa"/>
          </w:tcPr>
          <w:p w:rsidR="00917091" w:rsidRDefault="00917091" w:rsidP="00917091">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917091" w:rsidRPr="00B25405" w:rsidRDefault="00917091" w:rsidP="00917091">
            <w:pPr>
              <w:rPr>
                <w:sz w:val="20"/>
                <w:szCs w:val="20"/>
              </w:rPr>
            </w:pPr>
          </w:p>
        </w:tc>
        <w:tc>
          <w:tcPr>
            <w:tcW w:w="5953" w:type="dxa"/>
            <w:gridSpan w:val="3"/>
          </w:tcPr>
          <w:p w:rsidR="00917091" w:rsidRDefault="00917091" w:rsidP="00917091">
            <w:pPr>
              <w:jc w:val="both"/>
              <w:rPr>
                <w:sz w:val="20"/>
                <w:szCs w:val="20"/>
              </w:rPr>
            </w:pPr>
            <w:r>
              <w:rPr>
                <w:sz w:val="20"/>
                <w:szCs w:val="20"/>
              </w:rPr>
              <w:t>Support the development of</w:t>
            </w:r>
            <w:r w:rsidRPr="00BD1A62">
              <w:rPr>
                <w:sz w:val="20"/>
                <w:szCs w:val="20"/>
              </w:rPr>
              <w:t xml:space="preserve"> Lancashire Workforce Development Partnership (LWDP) </w:t>
            </w:r>
            <w:r>
              <w:rPr>
                <w:sz w:val="20"/>
                <w:szCs w:val="20"/>
              </w:rPr>
              <w:t xml:space="preserve">which is currently owned by LCC into an independent company </w:t>
            </w:r>
            <w:r w:rsidRPr="00BD1A62">
              <w:rPr>
                <w:sz w:val="20"/>
                <w:szCs w:val="20"/>
              </w:rPr>
              <w:t>from April 2016</w:t>
            </w:r>
            <w:r>
              <w:rPr>
                <w:sz w:val="20"/>
                <w:szCs w:val="20"/>
              </w:rPr>
              <w:t>. In doing so, cease the funding to subsidise the training to support the development of workforce in the care sector.</w:t>
            </w:r>
          </w:p>
          <w:p w:rsidR="00917091" w:rsidRDefault="00917091" w:rsidP="00917091">
            <w:pPr>
              <w:rPr>
                <w:sz w:val="20"/>
                <w:szCs w:val="20"/>
              </w:rPr>
            </w:pPr>
          </w:p>
          <w:p w:rsidR="00917091" w:rsidRDefault="00917091" w:rsidP="00917091">
            <w:pPr>
              <w:rPr>
                <w:sz w:val="20"/>
                <w:szCs w:val="20"/>
              </w:rPr>
            </w:pPr>
            <w:r>
              <w:rPr>
                <w:sz w:val="20"/>
                <w:szCs w:val="20"/>
              </w:rPr>
              <w:t xml:space="preserve">Allocate the funding of </w:t>
            </w:r>
            <w:proofErr w:type="spellStart"/>
            <w:r>
              <w:rPr>
                <w:sz w:val="20"/>
                <w:szCs w:val="20"/>
              </w:rPr>
              <w:t>Healthwatch</w:t>
            </w:r>
            <w:proofErr w:type="spellEnd"/>
            <w:r>
              <w:rPr>
                <w:sz w:val="20"/>
                <w:szCs w:val="20"/>
              </w:rPr>
              <w:t xml:space="preserve"> in line with central government (DH) grants by April 2016. In doing so, cease the additional LCC funding </w:t>
            </w:r>
            <w:r w:rsidRPr="00BD1A62">
              <w:rPr>
                <w:sz w:val="20"/>
                <w:szCs w:val="20"/>
              </w:rPr>
              <w:t>to Health Watch</w:t>
            </w:r>
            <w:r>
              <w:rPr>
                <w:sz w:val="20"/>
                <w:szCs w:val="20"/>
              </w:rPr>
              <w:t xml:space="preserve"> from </w:t>
            </w:r>
            <w:r w:rsidRPr="00BD1A62">
              <w:rPr>
                <w:sz w:val="20"/>
                <w:szCs w:val="20"/>
              </w:rPr>
              <w:t>April</w:t>
            </w:r>
            <w:r>
              <w:rPr>
                <w:sz w:val="20"/>
                <w:szCs w:val="20"/>
              </w:rPr>
              <w:t xml:space="preserve"> 2016.</w:t>
            </w:r>
          </w:p>
          <w:p w:rsidR="00917091" w:rsidRDefault="00917091" w:rsidP="00917091">
            <w:pPr>
              <w:rPr>
                <w:sz w:val="20"/>
                <w:szCs w:val="20"/>
              </w:rPr>
            </w:pPr>
          </w:p>
          <w:p w:rsidR="00917091" w:rsidRPr="00BD1A62" w:rsidRDefault="00917091" w:rsidP="00917091">
            <w:pPr>
              <w:rPr>
                <w:sz w:val="20"/>
                <w:szCs w:val="20"/>
              </w:rPr>
            </w:pPr>
            <w:r>
              <w:rPr>
                <w:sz w:val="20"/>
                <w:szCs w:val="20"/>
              </w:rPr>
              <w:t xml:space="preserve">A one-off recovery of unspent reserves from </w:t>
            </w:r>
            <w:proofErr w:type="spellStart"/>
            <w:r>
              <w:rPr>
                <w:sz w:val="20"/>
                <w:szCs w:val="20"/>
              </w:rPr>
              <w:t>Healthwatch</w:t>
            </w:r>
            <w:proofErr w:type="spellEnd"/>
            <w:r>
              <w:rPr>
                <w:sz w:val="20"/>
                <w:szCs w:val="20"/>
              </w:rPr>
              <w:t xml:space="preserve"> in 2015/16</w:t>
            </w:r>
          </w:p>
          <w:p w:rsidR="00917091" w:rsidRPr="008D3C4D" w:rsidRDefault="00917091" w:rsidP="00917091">
            <w:pPr>
              <w:rPr>
                <w:sz w:val="20"/>
                <w:szCs w:val="20"/>
              </w:rPr>
            </w:pPr>
          </w:p>
        </w:tc>
      </w:tr>
      <w:tr w:rsidR="00917091" w:rsidTr="00D95C3C">
        <w:tc>
          <w:tcPr>
            <w:tcW w:w="3256" w:type="dxa"/>
          </w:tcPr>
          <w:p w:rsidR="00917091" w:rsidRPr="0066742C" w:rsidRDefault="00917091" w:rsidP="00917091">
            <w:pPr>
              <w:rPr>
                <w:sz w:val="20"/>
                <w:szCs w:val="20"/>
              </w:rPr>
            </w:pPr>
            <w:r>
              <w:rPr>
                <w:sz w:val="20"/>
                <w:szCs w:val="20"/>
              </w:rPr>
              <w:t>Impact on service</w:t>
            </w:r>
          </w:p>
        </w:tc>
        <w:tc>
          <w:tcPr>
            <w:tcW w:w="5953" w:type="dxa"/>
            <w:gridSpan w:val="3"/>
          </w:tcPr>
          <w:p w:rsidR="00917091" w:rsidRDefault="00917091" w:rsidP="00917091">
            <w:pPr>
              <w:jc w:val="both"/>
              <w:rPr>
                <w:sz w:val="20"/>
                <w:szCs w:val="20"/>
              </w:rPr>
            </w:pPr>
            <w:r w:rsidRPr="00BD1A62">
              <w:rPr>
                <w:sz w:val="20"/>
                <w:szCs w:val="20"/>
              </w:rPr>
              <w:t>Lancashire Workforce Development Partnership (LWDP)</w:t>
            </w:r>
            <w:r>
              <w:rPr>
                <w:sz w:val="20"/>
                <w:szCs w:val="20"/>
              </w:rPr>
              <w:t xml:space="preserve"> is currently subsidised to provide training to the sector workforce. Ceasing the subsidy will lead to LWDP developing a full cost recovery model. Providers are required by the regulators to invest in training and development of their employees so it is anticipated that they will meet their requirements. We will monitor this closely through contract management of our providers.</w:t>
            </w:r>
          </w:p>
          <w:p w:rsidR="00917091" w:rsidRDefault="00917091" w:rsidP="00917091">
            <w:pPr>
              <w:jc w:val="both"/>
              <w:rPr>
                <w:sz w:val="20"/>
                <w:szCs w:val="20"/>
              </w:rPr>
            </w:pPr>
          </w:p>
          <w:p w:rsidR="00917091" w:rsidRPr="00BD1A62" w:rsidRDefault="00917091" w:rsidP="00917091">
            <w:pPr>
              <w:jc w:val="both"/>
              <w:rPr>
                <w:sz w:val="20"/>
                <w:szCs w:val="20"/>
              </w:rPr>
            </w:pPr>
            <w:r>
              <w:rPr>
                <w:sz w:val="20"/>
                <w:szCs w:val="20"/>
              </w:rPr>
              <w:t xml:space="preserve">Additional funding to </w:t>
            </w:r>
            <w:proofErr w:type="spellStart"/>
            <w:r>
              <w:rPr>
                <w:sz w:val="20"/>
                <w:szCs w:val="20"/>
              </w:rPr>
              <w:t>Healthwatch</w:t>
            </w:r>
            <w:proofErr w:type="spellEnd"/>
            <w:r>
              <w:rPr>
                <w:sz w:val="20"/>
                <w:szCs w:val="20"/>
              </w:rPr>
              <w:t xml:space="preserve"> was made available by the council so that it can develop as an organisation. It is now in its third year of operation and it is anticipated that </w:t>
            </w:r>
            <w:proofErr w:type="spellStart"/>
            <w:r>
              <w:rPr>
                <w:sz w:val="20"/>
                <w:szCs w:val="20"/>
              </w:rPr>
              <w:t>Healthwatch</w:t>
            </w:r>
            <w:proofErr w:type="spellEnd"/>
            <w:r>
              <w:rPr>
                <w:sz w:val="20"/>
                <w:szCs w:val="20"/>
              </w:rPr>
              <w:t xml:space="preserve"> will develop a business model that is consistent with the funding envelop from Department of Health.</w:t>
            </w:r>
          </w:p>
        </w:tc>
      </w:tr>
      <w:tr w:rsidR="00917091" w:rsidTr="00D95C3C">
        <w:tc>
          <w:tcPr>
            <w:tcW w:w="3256" w:type="dxa"/>
          </w:tcPr>
          <w:p w:rsidR="00917091" w:rsidRPr="00B25405" w:rsidRDefault="00917091" w:rsidP="00917091">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917091" w:rsidRDefault="00917091" w:rsidP="00917091">
            <w:pPr>
              <w:pStyle w:val="ListParagraph"/>
              <w:numPr>
                <w:ilvl w:val="0"/>
                <w:numId w:val="1"/>
              </w:numPr>
              <w:rPr>
                <w:sz w:val="20"/>
                <w:szCs w:val="20"/>
              </w:rPr>
            </w:pPr>
            <w:r>
              <w:rPr>
                <w:sz w:val="20"/>
                <w:szCs w:val="20"/>
              </w:rPr>
              <w:t>Serve notice on LWDP (contract ends May 16)</w:t>
            </w:r>
          </w:p>
          <w:p w:rsidR="00917091" w:rsidRDefault="00917091" w:rsidP="00917091">
            <w:pPr>
              <w:pStyle w:val="ListParagraph"/>
              <w:numPr>
                <w:ilvl w:val="0"/>
                <w:numId w:val="1"/>
              </w:numPr>
              <w:rPr>
                <w:sz w:val="20"/>
                <w:szCs w:val="20"/>
              </w:rPr>
            </w:pPr>
            <w:r>
              <w:rPr>
                <w:sz w:val="20"/>
                <w:szCs w:val="20"/>
              </w:rPr>
              <w:t xml:space="preserve">Revise the contract with Health Watch </w:t>
            </w:r>
          </w:p>
          <w:p w:rsidR="00917091" w:rsidRDefault="00917091" w:rsidP="00917091">
            <w:pPr>
              <w:pStyle w:val="ListParagraph"/>
              <w:numPr>
                <w:ilvl w:val="0"/>
                <w:numId w:val="1"/>
              </w:numPr>
              <w:rPr>
                <w:sz w:val="20"/>
                <w:szCs w:val="20"/>
              </w:rPr>
            </w:pPr>
            <w:r>
              <w:rPr>
                <w:sz w:val="20"/>
                <w:szCs w:val="20"/>
              </w:rPr>
              <w:t xml:space="preserve">Invest in quality monitoring system for the care sector (one licence off for 3 years) in partnership with the NHS. </w:t>
            </w:r>
          </w:p>
          <w:p w:rsidR="00917091" w:rsidRDefault="00917091" w:rsidP="00917091">
            <w:pPr>
              <w:pStyle w:val="ListParagraph"/>
              <w:numPr>
                <w:ilvl w:val="0"/>
                <w:numId w:val="1"/>
              </w:numPr>
              <w:rPr>
                <w:sz w:val="20"/>
                <w:szCs w:val="20"/>
              </w:rPr>
            </w:pPr>
            <w:r>
              <w:rPr>
                <w:sz w:val="20"/>
                <w:szCs w:val="20"/>
              </w:rPr>
              <w:t>Consult staff on proposal/ structure by 31</w:t>
            </w:r>
            <w:r w:rsidRPr="00203470">
              <w:rPr>
                <w:sz w:val="20"/>
                <w:szCs w:val="20"/>
                <w:vertAlign w:val="superscript"/>
              </w:rPr>
              <w:t>st</w:t>
            </w:r>
            <w:r>
              <w:rPr>
                <w:sz w:val="20"/>
                <w:szCs w:val="20"/>
              </w:rPr>
              <w:t xml:space="preserve"> December 2015</w:t>
            </w:r>
          </w:p>
          <w:p w:rsidR="00917091" w:rsidRPr="00203470" w:rsidRDefault="00917091" w:rsidP="00917091">
            <w:pPr>
              <w:pStyle w:val="ListParagraph"/>
              <w:numPr>
                <w:ilvl w:val="0"/>
                <w:numId w:val="1"/>
              </w:numPr>
              <w:rPr>
                <w:sz w:val="20"/>
                <w:szCs w:val="20"/>
              </w:rPr>
            </w:pPr>
            <w:r w:rsidRPr="00203470">
              <w:rPr>
                <w:sz w:val="20"/>
                <w:szCs w:val="20"/>
              </w:rPr>
              <w:t xml:space="preserve">Statutory consultation process with Trades Unions with respect to potential for redundancies, </w:t>
            </w:r>
            <w:r>
              <w:rPr>
                <w:sz w:val="20"/>
                <w:szCs w:val="20"/>
              </w:rPr>
              <w:t>January 2016</w:t>
            </w:r>
            <w:r w:rsidRPr="00203470">
              <w:rPr>
                <w:sz w:val="20"/>
                <w:szCs w:val="20"/>
              </w:rPr>
              <w:t>.</w:t>
            </w:r>
          </w:p>
          <w:p w:rsidR="00917091" w:rsidRPr="00203470" w:rsidRDefault="00917091" w:rsidP="00917091">
            <w:pPr>
              <w:rPr>
                <w:sz w:val="20"/>
                <w:szCs w:val="20"/>
              </w:rPr>
            </w:pPr>
          </w:p>
        </w:tc>
      </w:tr>
      <w:tr w:rsidR="00917091" w:rsidTr="00D95C3C">
        <w:tc>
          <w:tcPr>
            <w:tcW w:w="3256" w:type="dxa"/>
          </w:tcPr>
          <w:p w:rsidR="00917091" w:rsidRPr="00B25405" w:rsidRDefault="00917091" w:rsidP="00917091">
            <w:pPr>
              <w:rPr>
                <w:sz w:val="20"/>
                <w:szCs w:val="20"/>
              </w:rPr>
            </w:pPr>
            <w:r>
              <w:rPr>
                <w:sz w:val="20"/>
                <w:szCs w:val="20"/>
              </w:rPr>
              <w:t>Equality Analysis</w:t>
            </w:r>
          </w:p>
        </w:tc>
        <w:tc>
          <w:tcPr>
            <w:tcW w:w="5953" w:type="dxa"/>
            <w:gridSpan w:val="3"/>
          </w:tcPr>
          <w:p w:rsidR="00917091" w:rsidRDefault="00B130F4" w:rsidP="00917091">
            <w:pPr>
              <w:rPr>
                <w:sz w:val="20"/>
                <w:szCs w:val="20"/>
              </w:rPr>
            </w:pPr>
            <w:hyperlink r:id="rId5" w:history="1">
              <w:r>
                <w:rPr>
                  <w:rStyle w:val="Hyperlink"/>
                  <w:sz w:val="20"/>
                  <w:szCs w:val="20"/>
                </w:rPr>
                <w:t>Click here to view document</w:t>
              </w:r>
            </w:hyperlink>
          </w:p>
          <w:p w:rsidR="00B130F4" w:rsidRPr="00644B7E" w:rsidRDefault="00B130F4" w:rsidP="00917091">
            <w:pPr>
              <w:rPr>
                <w:rFonts w:cs="Arial"/>
                <w:sz w:val="20"/>
                <w:szCs w:val="20"/>
              </w:rPr>
            </w:pPr>
            <w:bookmarkStart w:id="0" w:name="_GoBack"/>
            <w:bookmarkEnd w:id="0"/>
          </w:p>
        </w:tc>
      </w:tr>
    </w:tbl>
    <w:p w:rsidR="0047450A" w:rsidRDefault="0047450A"/>
    <w:p w:rsidR="003A3960" w:rsidRPr="003A3960" w:rsidRDefault="003A3960" w:rsidP="003A3960">
      <w:pPr>
        <w:spacing w:after="0" w:line="240" w:lineRule="auto"/>
        <w:rPr>
          <w:rFonts w:cs="Arial"/>
          <w:b/>
          <w:color w:val="000000" w:themeColor="text1"/>
          <w:sz w:val="20"/>
          <w:szCs w:val="20"/>
        </w:rPr>
      </w:pPr>
      <w:r w:rsidRPr="003A3960">
        <w:rPr>
          <w:rFonts w:cs="Arial"/>
          <w:b/>
          <w:color w:val="000000" w:themeColor="text1"/>
          <w:sz w:val="20"/>
          <w:szCs w:val="20"/>
        </w:rPr>
        <w:lastRenderedPageBreak/>
        <w:t>What does this service deliver?</w:t>
      </w:r>
      <w:r w:rsidRPr="003A3960">
        <w:rPr>
          <w:rFonts w:cs="Arial"/>
          <w:b/>
          <w:color w:val="000000" w:themeColor="text1"/>
          <w:sz w:val="20"/>
          <w:szCs w:val="20"/>
        </w:rPr>
        <w:br/>
      </w:r>
    </w:p>
    <w:p w:rsidR="003A3960" w:rsidRDefault="003A3960" w:rsidP="003A3960">
      <w:pPr>
        <w:pStyle w:val="ListParagraph"/>
        <w:spacing w:after="0" w:line="240" w:lineRule="auto"/>
        <w:ind w:left="0"/>
        <w:rPr>
          <w:rFonts w:cs="Arial"/>
          <w:color w:val="000000" w:themeColor="text1"/>
          <w:sz w:val="20"/>
          <w:szCs w:val="20"/>
        </w:rPr>
      </w:pPr>
      <w:r w:rsidRPr="003A3960">
        <w:rPr>
          <w:rFonts w:cs="Arial"/>
          <w:color w:val="000000" w:themeColor="text1"/>
          <w:sz w:val="20"/>
          <w:szCs w:val="20"/>
        </w:rPr>
        <w:t>This service aims to improve patient safety and quality of health and care services across Lancashire.   It delivers infection prevention and control advice, improvement of the uptake of vaccination, immunisation and screening programmes, reduction of avoidable mortality and supports the delivery of the assurance function of the County Council that the public health services in Lancashire are safe, effective, person centred, and well led. This service will also deliver advice to the six NHS clinical commissioning groups in Lancashire regarding these services where appropriate.</w:t>
      </w:r>
    </w:p>
    <w:p w:rsidR="002824A9" w:rsidRDefault="002824A9" w:rsidP="003A3960">
      <w:pPr>
        <w:pStyle w:val="ListParagraph"/>
        <w:spacing w:after="0" w:line="240" w:lineRule="auto"/>
        <w:ind w:left="0"/>
        <w:rPr>
          <w:rFonts w:cs="Arial"/>
          <w:color w:val="000000" w:themeColor="text1"/>
          <w:sz w:val="20"/>
          <w:szCs w:val="20"/>
        </w:rPr>
      </w:pPr>
    </w:p>
    <w:p w:rsidR="002824A9" w:rsidRPr="003A3960" w:rsidRDefault="002824A9" w:rsidP="003A3960">
      <w:pPr>
        <w:pStyle w:val="ListParagraph"/>
        <w:spacing w:after="0" w:line="240" w:lineRule="auto"/>
        <w:ind w:left="0"/>
        <w:rPr>
          <w:rFonts w:cs="Arial"/>
          <w:color w:val="000000" w:themeColor="text1"/>
          <w:sz w:val="20"/>
          <w:szCs w:val="20"/>
        </w:rPr>
      </w:pPr>
      <w:r>
        <w:rPr>
          <w:rFonts w:cs="Arial"/>
          <w:color w:val="000000" w:themeColor="text1"/>
          <w:sz w:val="20"/>
          <w:szCs w:val="20"/>
        </w:rPr>
        <w:t xml:space="preserve">Contracts with </w:t>
      </w:r>
      <w:proofErr w:type="spellStart"/>
      <w:r>
        <w:rPr>
          <w:rFonts w:cs="Arial"/>
          <w:color w:val="000000" w:themeColor="text1"/>
          <w:sz w:val="20"/>
          <w:szCs w:val="20"/>
        </w:rPr>
        <w:t>Healthwatch</w:t>
      </w:r>
      <w:proofErr w:type="spellEnd"/>
      <w:r>
        <w:rPr>
          <w:rFonts w:cs="Arial"/>
          <w:color w:val="000000" w:themeColor="text1"/>
          <w:sz w:val="20"/>
          <w:szCs w:val="20"/>
        </w:rPr>
        <w:t xml:space="preserve"> and </w:t>
      </w:r>
      <w:r w:rsidRPr="00BD1A62">
        <w:rPr>
          <w:sz w:val="20"/>
          <w:szCs w:val="20"/>
        </w:rPr>
        <w:t>Lancashire Workforce Development Partnership (LWDP)</w:t>
      </w:r>
      <w:r>
        <w:rPr>
          <w:sz w:val="20"/>
          <w:szCs w:val="20"/>
        </w:rPr>
        <w:t xml:space="preserve"> are also managed through this service.</w:t>
      </w:r>
    </w:p>
    <w:p w:rsidR="003A3960" w:rsidRPr="003A3960" w:rsidRDefault="003A3960" w:rsidP="003A3960">
      <w:pPr>
        <w:pStyle w:val="Default"/>
        <w:rPr>
          <w:rFonts w:asciiTheme="minorHAnsi" w:hAnsiTheme="minorHAnsi"/>
          <w:color w:val="000000" w:themeColor="text1"/>
          <w:sz w:val="20"/>
          <w:szCs w:val="20"/>
        </w:rPr>
      </w:pPr>
    </w:p>
    <w:p w:rsidR="003A3960" w:rsidRPr="003A3960" w:rsidRDefault="003A3960" w:rsidP="003A3960">
      <w:pPr>
        <w:pStyle w:val="Default"/>
        <w:rPr>
          <w:rFonts w:asciiTheme="minorHAnsi" w:hAnsiTheme="minorHAnsi"/>
          <w:color w:val="000000" w:themeColor="text1"/>
          <w:sz w:val="20"/>
          <w:szCs w:val="20"/>
        </w:rPr>
      </w:pPr>
      <w:r w:rsidRPr="003A3960">
        <w:rPr>
          <w:rFonts w:asciiTheme="minorHAnsi" w:hAnsiTheme="minorHAnsi"/>
          <w:color w:val="000000" w:themeColor="text1"/>
          <w:sz w:val="20"/>
          <w:szCs w:val="20"/>
        </w:rPr>
        <w:t xml:space="preserve">Development of a Quality Framework for Residential &amp; Nursing Care in improving the quality and safety in residential and nursing homes. </w:t>
      </w:r>
    </w:p>
    <w:p w:rsidR="003A3960" w:rsidRPr="003A3960" w:rsidRDefault="003A3960" w:rsidP="003A3960">
      <w:pPr>
        <w:pStyle w:val="Default"/>
        <w:rPr>
          <w:rFonts w:asciiTheme="minorHAnsi" w:hAnsiTheme="minorHAnsi"/>
          <w:color w:val="000000" w:themeColor="text1"/>
          <w:sz w:val="20"/>
          <w:szCs w:val="20"/>
        </w:rPr>
      </w:pPr>
    </w:p>
    <w:p w:rsidR="003A3960" w:rsidRPr="003A3960" w:rsidRDefault="003A3960" w:rsidP="003A3960">
      <w:pPr>
        <w:pStyle w:val="Default"/>
        <w:rPr>
          <w:rFonts w:asciiTheme="minorHAnsi" w:hAnsiTheme="minorHAnsi"/>
          <w:color w:val="000000" w:themeColor="text1"/>
          <w:sz w:val="20"/>
          <w:szCs w:val="20"/>
        </w:rPr>
      </w:pPr>
      <w:r w:rsidRPr="003A3960">
        <w:rPr>
          <w:rFonts w:asciiTheme="minorHAnsi" w:hAnsiTheme="minorHAnsi"/>
          <w:color w:val="000000" w:themeColor="text1"/>
          <w:sz w:val="20"/>
          <w:szCs w:val="20"/>
        </w:rPr>
        <w:t>LCC has a statutory responsibility to deliver national initiative such as the roll out of flu vaccinations to all front line staff and to make the vaccination available to all social care providers and eligible people also a duty to undertake a post infection review.</w:t>
      </w:r>
    </w:p>
    <w:p w:rsidR="003A3960" w:rsidRPr="003A3960" w:rsidRDefault="003A3960" w:rsidP="003A3960">
      <w:pPr>
        <w:pStyle w:val="Default"/>
        <w:rPr>
          <w:rFonts w:asciiTheme="minorHAnsi" w:hAnsiTheme="minorHAnsi"/>
          <w:color w:val="000000" w:themeColor="text1"/>
          <w:sz w:val="20"/>
          <w:szCs w:val="20"/>
        </w:rPr>
      </w:pPr>
    </w:p>
    <w:p w:rsidR="003A3960" w:rsidRPr="003A3960" w:rsidRDefault="003A3960" w:rsidP="003A3960">
      <w:pPr>
        <w:pStyle w:val="Default"/>
        <w:rPr>
          <w:rFonts w:asciiTheme="minorHAnsi" w:hAnsiTheme="minorHAnsi"/>
          <w:color w:val="000000" w:themeColor="text1"/>
          <w:sz w:val="20"/>
          <w:szCs w:val="20"/>
        </w:rPr>
      </w:pPr>
      <w:r w:rsidRPr="003A3960">
        <w:rPr>
          <w:rFonts w:asciiTheme="minorHAnsi" w:hAnsiTheme="minorHAnsi"/>
          <w:color w:val="000000" w:themeColor="text1"/>
          <w:sz w:val="20"/>
          <w:szCs w:val="20"/>
        </w:rPr>
        <w:t>There are £40m of Public Health contracts which are monitored by this team.  Under the Care Act this team must work to prevent provider failure and is within a safeguarding context to prevent abuse</w:t>
      </w:r>
    </w:p>
    <w:p w:rsidR="003A3960" w:rsidRPr="003A3960" w:rsidRDefault="003A3960" w:rsidP="003A3960">
      <w:pPr>
        <w:pStyle w:val="Default"/>
        <w:rPr>
          <w:rFonts w:asciiTheme="minorHAnsi" w:hAnsiTheme="minorHAnsi"/>
          <w:color w:val="000000" w:themeColor="text1"/>
          <w:sz w:val="20"/>
          <w:szCs w:val="20"/>
        </w:rPr>
      </w:pPr>
    </w:p>
    <w:p w:rsidR="003A3960" w:rsidRPr="003A3960" w:rsidRDefault="003A3960" w:rsidP="003A3960">
      <w:pPr>
        <w:spacing w:after="0" w:line="240" w:lineRule="auto"/>
        <w:rPr>
          <w:rFonts w:cs="Arial"/>
          <w:color w:val="000000" w:themeColor="text1"/>
          <w:sz w:val="20"/>
          <w:szCs w:val="20"/>
        </w:rPr>
      </w:pPr>
      <w:r w:rsidRPr="003A3960">
        <w:rPr>
          <w:rFonts w:cs="Arial"/>
          <w:color w:val="000000" w:themeColor="text1"/>
          <w:sz w:val="20"/>
          <w:szCs w:val="20"/>
        </w:rPr>
        <w:t xml:space="preserve">Lead the research and development function of the service, supporting other HoS in research bids and academic partnerships to increase evidence based approaches. </w:t>
      </w:r>
    </w:p>
    <w:p w:rsidR="003A3960" w:rsidRPr="003A3960" w:rsidRDefault="003A3960" w:rsidP="003A3960">
      <w:pPr>
        <w:spacing w:after="0" w:line="240" w:lineRule="auto"/>
        <w:rPr>
          <w:rFonts w:cs="Arial"/>
          <w:color w:val="000000" w:themeColor="text1"/>
          <w:sz w:val="20"/>
          <w:szCs w:val="20"/>
        </w:rPr>
      </w:pPr>
    </w:p>
    <w:p w:rsidR="003A3960" w:rsidRPr="003A3960" w:rsidRDefault="003A3960" w:rsidP="003A3960">
      <w:pPr>
        <w:spacing w:after="0" w:line="240" w:lineRule="auto"/>
        <w:rPr>
          <w:rFonts w:cs="Arial"/>
          <w:color w:val="000000" w:themeColor="text1"/>
          <w:sz w:val="20"/>
          <w:szCs w:val="20"/>
        </w:rPr>
      </w:pPr>
      <w:r w:rsidRPr="003A3960">
        <w:rPr>
          <w:rFonts w:cs="Arial"/>
          <w:color w:val="000000" w:themeColor="text1"/>
          <w:sz w:val="20"/>
          <w:szCs w:val="20"/>
        </w:rPr>
        <w:t xml:space="preserve">Contributing to strategy development by using health indicators and evidence of effectiveness to identify changes in delivery by the NHS or local partners and the Health Equity and Partnership service and Early Help, Wellbeing and Prevention. </w:t>
      </w:r>
    </w:p>
    <w:p w:rsidR="00436513" w:rsidRDefault="00436513" w:rsidP="00436513">
      <w:pPr>
        <w:spacing w:after="0" w:line="240" w:lineRule="auto"/>
        <w:rPr>
          <w:rFonts w:cs="Arial"/>
          <w:b/>
          <w:color w:val="000000" w:themeColor="text1"/>
          <w:sz w:val="24"/>
          <w:szCs w:val="24"/>
        </w:rPr>
      </w:pPr>
    </w:p>
    <w:p w:rsidR="00436513" w:rsidRDefault="00436513"/>
    <w:sectPr w:rsidR="00436513"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205F"/>
    <w:multiLevelType w:val="hybridMultilevel"/>
    <w:tmpl w:val="48822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36BE6"/>
    <w:multiLevelType w:val="hybridMultilevel"/>
    <w:tmpl w:val="67EAD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84670"/>
    <w:multiLevelType w:val="hybridMultilevel"/>
    <w:tmpl w:val="78942D54"/>
    <w:lvl w:ilvl="0" w:tplc="588A246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9370F7"/>
    <w:multiLevelType w:val="hybridMultilevel"/>
    <w:tmpl w:val="7300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C7660"/>
    <w:rsid w:val="00153379"/>
    <w:rsid w:val="00154554"/>
    <w:rsid w:val="001D6D1C"/>
    <w:rsid w:val="00203470"/>
    <w:rsid w:val="002824A9"/>
    <w:rsid w:val="002E4481"/>
    <w:rsid w:val="0037335F"/>
    <w:rsid w:val="003A3960"/>
    <w:rsid w:val="00436513"/>
    <w:rsid w:val="0047450A"/>
    <w:rsid w:val="005F2E03"/>
    <w:rsid w:val="00644B7E"/>
    <w:rsid w:val="007B483E"/>
    <w:rsid w:val="007C795C"/>
    <w:rsid w:val="0082133B"/>
    <w:rsid w:val="00833479"/>
    <w:rsid w:val="008D3C4D"/>
    <w:rsid w:val="008F4D4E"/>
    <w:rsid w:val="00917091"/>
    <w:rsid w:val="009C37D4"/>
    <w:rsid w:val="00A42ABC"/>
    <w:rsid w:val="00AC0F19"/>
    <w:rsid w:val="00AE3E53"/>
    <w:rsid w:val="00B130F4"/>
    <w:rsid w:val="00B24E2A"/>
    <w:rsid w:val="00BD1A62"/>
    <w:rsid w:val="00C54690"/>
    <w:rsid w:val="00DA5F01"/>
    <w:rsid w:val="00E70F4D"/>
    <w:rsid w:val="00EB585F"/>
    <w:rsid w:val="00EE0A75"/>
    <w:rsid w:val="00F6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paragraph" w:customStyle="1" w:styleId="Default">
    <w:name w:val="Default"/>
    <w:rsid w:val="004365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5F"/>
    <w:rPr>
      <w:rFonts w:ascii="Segoe UI" w:hAnsi="Segoe UI" w:cs="Segoe UI"/>
      <w:sz w:val="18"/>
      <w:szCs w:val="18"/>
    </w:rPr>
  </w:style>
  <w:style w:type="character" w:styleId="Hyperlink">
    <w:name w:val="Hyperlink"/>
    <w:basedOn w:val="DefaultParagraphFont"/>
    <w:uiPriority w:val="99"/>
    <w:semiHidden/>
    <w:unhideWhenUsed/>
    <w:rsid w:val="00B13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Mather, Chris</cp:lastModifiedBy>
  <cp:revision>11</cp:revision>
  <cp:lastPrinted>2015-10-23T12:09:00Z</cp:lastPrinted>
  <dcterms:created xsi:type="dcterms:W3CDTF">2015-11-10T20:25:00Z</dcterms:created>
  <dcterms:modified xsi:type="dcterms:W3CDTF">2015-11-13T18:08:00Z</dcterms:modified>
</cp:coreProperties>
</file>